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7" w:rsidRDefault="00F43491" w:rsidP="00F43491">
      <w:pPr>
        <w:pStyle w:val="ConsPlusNormal"/>
        <w:widowControl/>
        <w:spacing w:line="312" w:lineRule="auto"/>
        <w:ind w:firstLine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1 марта - единый срок уплаты организациями имущественных налогов</w:t>
      </w:r>
    </w:p>
    <w:p w:rsidR="004B0629" w:rsidRPr="004B0629" w:rsidRDefault="00F43491" w:rsidP="004B0629">
      <w:pPr>
        <w:pStyle w:val="ConsPlusNormal"/>
        <w:widowControl/>
        <w:ind w:firstLine="0"/>
        <w:jc w:val="center"/>
        <w:rPr>
          <w:b/>
          <w:sz w:val="30"/>
          <w:szCs w:val="30"/>
          <w:u w:val="single"/>
        </w:rPr>
      </w:pPr>
      <w:r w:rsidRPr="009B090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9F7E6DE" wp14:editId="4660B747">
            <wp:simplePos x="0" y="0"/>
            <wp:positionH relativeFrom="column">
              <wp:posOffset>3810</wp:posOffset>
            </wp:positionH>
            <wp:positionV relativeFrom="paragraph">
              <wp:posOffset>179070</wp:posOffset>
            </wp:positionV>
            <wp:extent cx="2324100" cy="1551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91" w:rsidRPr="00F43491" w:rsidRDefault="00351D5F" w:rsidP="00F43491">
      <w:pPr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3491">
        <w:rPr>
          <w:rFonts w:ascii="Arial" w:hAnsi="Arial" w:cs="Arial"/>
          <w:sz w:val="26"/>
          <w:szCs w:val="26"/>
        </w:rPr>
        <w:t>Межрайонная ИФНС России № 9 по Архангельской об</w:t>
      </w:r>
      <w:bookmarkStart w:id="0" w:name="_GoBack"/>
      <w:bookmarkEnd w:id="0"/>
      <w:r w:rsidRPr="00F43491">
        <w:rPr>
          <w:rFonts w:ascii="Arial" w:hAnsi="Arial" w:cs="Arial"/>
          <w:sz w:val="26"/>
          <w:szCs w:val="26"/>
        </w:rPr>
        <w:t xml:space="preserve">ласти и Ненецкому автономному округу </w:t>
      </w:r>
      <w:r w:rsidR="00F43491" w:rsidRPr="00F43491">
        <w:rPr>
          <w:rFonts w:ascii="Arial" w:hAnsi="Arial" w:cs="Arial"/>
          <w:sz w:val="26"/>
          <w:szCs w:val="26"/>
        </w:rPr>
        <w:t>напоминает</w:t>
      </w:r>
      <w:r w:rsidRPr="00F43491">
        <w:rPr>
          <w:rFonts w:ascii="Arial" w:hAnsi="Arial" w:cs="Arial"/>
          <w:sz w:val="26"/>
          <w:szCs w:val="26"/>
        </w:rPr>
        <w:t xml:space="preserve">, </w:t>
      </w:r>
      <w:r w:rsidR="00F43491" w:rsidRPr="00F43491">
        <w:rPr>
          <w:rFonts w:ascii="Arial" w:hAnsi="Arial" w:cs="Arial"/>
          <w:sz w:val="26"/>
          <w:szCs w:val="26"/>
        </w:rPr>
        <w:t>что</w:t>
      </w:r>
      <w:r w:rsidR="00F43491">
        <w:rPr>
          <w:rFonts w:ascii="Arial" w:hAnsi="Arial" w:cs="Arial"/>
          <w:sz w:val="26"/>
          <w:szCs w:val="26"/>
        </w:rPr>
        <w:t xml:space="preserve"> </w:t>
      </w:r>
      <w:r w:rsidR="00F43491" w:rsidRPr="00F43491">
        <w:rPr>
          <w:rFonts w:ascii="Arial" w:hAnsi="Arial" w:cs="Arial"/>
          <w:sz w:val="26"/>
          <w:szCs w:val="26"/>
        </w:rPr>
        <w:t>1 марта истекает единый срок уплаты имущественных налогов организаций за 2021 год</w:t>
      </w:r>
    </w:p>
    <w:p w:rsidR="00F43491" w:rsidRPr="00F43491" w:rsidRDefault="00F43491" w:rsidP="00F43491">
      <w:pPr>
        <w:spacing w:line="312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43491">
        <w:rPr>
          <w:rFonts w:ascii="Arial" w:hAnsi="Arial" w:cs="Arial"/>
          <w:sz w:val="26"/>
          <w:szCs w:val="26"/>
        </w:rPr>
        <w:t>Вступили в силу единые сроки уплаты организациями транспортного налога, налога на имущество организаций и земельного налога (федеральные законы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29.09.2019 № 325-ФЗ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и от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 xml:space="preserve">02.07.2021 № 305-ФЗ). Теперь </w:t>
      </w:r>
      <w:proofErr w:type="spellStart"/>
      <w:r w:rsidRPr="00F43491">
        <w:rPr>
          <w:rFonts w:ascii="Arial" w:hAnsi="Arial" w:cs="Arial"/>
          <w:sz w:val="26"/>
          <w:szCs w:val="26"/>
        </w:rPr>
        <w:t>юрлица</w:t>
      </w:r>
      <w:proofErr w:type="spellEnd"/>
      <w:r w:rsidRPr="00F43491">
        <w:rPr>
          <w:rFonts w:ascii="Arial" w:hAnsi="Arial" w:cs="Arial"/>
          <w:sz w:val="26"/>
          <w:szCs w:val="26"/>
        </w:rPr>
        <w:t xml:space="preserve"> уплачивают их не позднее 1 марта года, следующего за истекшим налоговым периодом. Таким образом, эти налоги за 2021 год необходимо оплатить </w:t>
      </w:r>
      <w:r w:rsidRPr="00F43491">
        <w:rPr>
          <w:rFonts w:ascii="Arial" w:hAnsi="Arial" w:cs="Arial"/>
          <w:b/>
          <w:sz w:val="26"/>
          <w:szCs w:val="26"/>
          <w:u w:val="single"/>
        </w:rPr>
        <w:t>не позднее 1 марта 2022 года.</w:t>
      </w:r>
    </w:p>
    <w:p w:rsidR="00F43491" w:rsidRPr="00F43491" w:rsidRDefault="00F43491" w:rsidP="00F43491">
      <w:pPr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3491">
        <w:rPr>
          <w:rFonts w:ascii="Arial" w:hAnsi="Arial" w:cs="Arial"/>
          <w:sz w:val="26"/>
          <w:szCs w:val="26"/>
        </w:rPr>
        <w:t>Авансовые платежи по транспортному и земельному налогам, а также по налогу на имущество организаций подлежат уплате не позднее последнего числа месяца, следующего за истекшим отчетным периодом: это первый, второй и третий кварталы календарного года. Указанные платежи могут не вводиться, если это предусмотрено законом субъекта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F43491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F43491">
        <w:rPr>
          <w:rFonts w:ascii="Arial" w:hAnsi="Arial" w:cs="Arial"/>
          <w:sz w:val="26"/>
          <w:szCs w:val="26"/>
        </w:rPr>
        <w:t xml:space="preserve"> по соответствующим налогам, а также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для земельного налога.</w:t>
      </w:r>
    </w:p>
    <w:p w:rsidR="00F43491" w:rsidRPr="00F43491" w:rsidRDefault="00F43491" w:rsidP="00F43491">
      <w:pPr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3491">
        <w:rPr>
          <w:rFonts w:ascii="Arial" w:hAnsi="Arial" w:cs="Arial"/>
          <w:sz w:val="26"/>
          <w:szCs w:val="26"/>
        </w:rPr>
        <w:t>Вышеперечисленные сроки уплаты налогов и авансовых платежей применяются во всех регионах. Действовавшие ранее полномочия субъектов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F43491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F43491">
        <w:rPr>
          <w:rFonts w:ascii="Arial" w:hAnsi="Arial" w:cs="Arial"/>
          <w:sz w:val="26"/>
          <w:szCs w:val="26"/>
        </w:rPr>
        <w:t xml:space="preserve"> и представительных органов муниципальных образований по определению сроков их уплаты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отменены.</w:t>
      </w:r>
    </w:p>
    <w:p w:rsidR="00F43491" w:rsidRPr="00F43491" w:rsidRDefault="00F43491" w:rsidP="00F43491">
      <w:pPr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3491">
        <w:rPr>
          <w:rFonts w:ascii="Arial" w:hAnsi="Arial" w:cs="Arial"/>
          <w:sz w:val="26"/>
          <w:szCs w:val="26"/>
        </w:rPr>
        <w:t>В случае неуплаты самостоятельно исчисляемых организацией имущественных налогов и авансовых платежей по ним начисляются пени, а налоговые органы принимают меры по принудительному взысканию недоимки, в том числе исходя из направленного налогоплательщику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сообщения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об исчисленной сумме налога и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требования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F43491">
        <w:rPr>
          <w:rFonts w:ascii="Arial" w:hAnsi="Arial" w:cs="Arial"/>
          <w:sz w:val="26"/>
          <w:szCs w:val="26"/>
        </w:rPr>
        <w:t>о его уплате.</w:t>
      </w:r>
    </w:p>
    <w:p w:rsidR="00F43491" w:rsidRPr="00F43491" w:rsidRDefault="00F43491" w:rsidP="00F43491">
      <w:pPr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F43491" w:rsidRPr="00F43491" w:rsidSect="009B0909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70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5F" w:rsidRDefault="00351D5F">
      <w:r>
        <w:separator/>
      </w:r>
    </w:p>
  </w:endnote>
  <w:endnote w:type="continuationSeparator" w:id="0">
    <w:p w:rsidR="00351D5F" w:rsidRDefault="003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5F" w:rsidRDefault="00351D5F">
      <w:r>
        <w:separator/>
      </w:r>
    </w:p>
  </w:footnote>
  <w:footnote w:type="continuationSeparator" w:id="0">
    <w:p w:rsidR="00351D5F" w:rsidRDefault="0035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5F" w:rsidRDefault="00351D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43</w:t>
    </w:r>
    <w:r>
      <w:rPr>
        <w:rStyle w:val="a9"/>
      </w:rPr>
      <w:fldChar w:fldCharType="end"/>
    </w:r>
  </w:p>
  <w:p w:rsidR="00351D5F" w:rsidRDefault="00351D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5F" w:rsidRDefault="00351D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491">
      <w:rPr>
        <w:rStyle w:val="a9"/>
        <w:noProof/>
      </w:rPr>
      <w:t>2</w:t>
    </w:r>
    <w:r>
      <w:rPr>
        <w:rStyle w:val="a9"/>
      </w:rPr>
      <w:fldChar w:fldCharType="end"/>
    </w:r>
  </w:p>
  <w:p w:rsidR="00351D5F" w:rsidRDefault="00351D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12FCD"/>
    <w:rsid w:val="00013D36"/>
    <w:rsid w:val="00026A0B"/>
    <w:rsid w:val="000365EF"/>
    <w:rsid w:val="00053C87"/>
    <w:rsid w:val="0006074F"/>
    <w:rsid w:val="00070899"/>
    <w:rsid w:val="000A361A"/>
    <w:rsid w:val="000A7ADF"/>
    <w:rsid w:val="000B1562"/>
    <w:rsid w:val="000B242D"/>
    <w:rsid w:val="000E38FA"/>
    <w:rsid w:val="00101795"/>
    <w:rsid w:val="0010424A"/>
    <w:rsid w:val="001074CB"/>
    <w:rsid w:val="001169D3"/>
    <w:rsid w:val="00140C9B"/>
    <w:rsid w:val="00147576"/>
    <w:rsid w:val="00171D4F"/>
    <w:rsid w:val="00181107"/>
    <w:rsid w:val="001A6069"/>
    <w:rsid w:val="001E26FE"/>
    <w:rsid w:val="00232A89"/>
    <w:rsid w:val="002458EC"/>
    <w:rsid w:val="00262FF8"/>
    <w:rsid w:val="0026602F"/>
    <w:rsid w:val="0028175D"/>
    <w:rsid w:val="002903C0"/>
    <w:rsid w:val="002D0DE2"/>
    <w:rsid w:val="002E5B89"/>
    <w:rsid w:val="003202AC"/>
    <w:rsid w:val="00323321"/>
    <w:rsid w:val="00333C2B"/>
    <w:rsid w:val="00351D5F"/>
    <w:rsid w:val="0036562E"/>
    <w:rsid w:val="0039162E"/>
    <w:rsid w:val="003B07EC"/>
    <w:rsid w:val="003B1A62"/>
    <w:rsid w:val="003C4145"/>
    <w:rsid w:val="003F3C01"/>
    <w:rsid w:val="00410404"/>
    <w:rsid w:val="0049739E"/>
    <w:rsid w:val="004B0629"/>
    <w:rsid w:val="004C361C"/>
    <w:rsid w:val="004C6BC3"/>
    <w:rsid w:val="004F468A"/>
    <w:rsid w:val="00547A1F"/>
    <w:rsid w:val="00552825"/>
    <w:rsid w:val="00554439"/>
    <w:rsid w:val="00557271"/>
    <w:rsid w:val="005579DB"/>
    <w:rsid w:val="00560652"/>
    <w:rsid w:val="005C3123"/>
    <w:rsid w:val="006056B7"/>
    <w:rsid w:val="00607B4F"/>
    <w:rsid w:val="00625DDD"/>
    <w:rsid w:val="00632EF7"/>
    <w:rsid w:val="0066040C"/>
    <w:rsid w:val="00664E25"/>
    <w:rsid w:val="00696F02"/>
    <w:rsid w:val="006D73C6"/>
    <w:rsid w:val="00720604"/>
    <w:rsid w:val="00745B8F"/>
    <w:rsid w:val="00747659"/>
    <w:rsid w:val="00763633"/>
    <w:rsid w:val="00763E1C"/>
    <w:rsid w:val="00795CA6"/>
    <w:rsid w:val="007D4E24"/>
    <w:rsid w:val="007F159F"/>
    <w:rsid w:val="00803DBD"/>
    <w:rsid w:val="008516FB"/>
    <w:rsid w:val="00860466"/>
    <w:rsid w:val="0088231B"/>
    <w:rsid w:val="00894A6E"/>
    <w:rsid w:val="008A4732"/>
    <w:rsid w:val="008A5F67"/>
    <w:rsid w:val="008C3418"/>
    <w:rsid w:val="008E3412"/>
    <w:rsid w:val="008F49E0"/>
    <w:rsid w:val="0094417E"/>
    <w:rsid w:val="00977FC8"/>
    <w:rsid w:val="0098726A"/>
    <w:rsid w:val="0099401E"/>
    <w:rsid w:val="009953E5"/>
    <w:rsid w:val="009B0909"/>
    <w:rsid w:val="009D3346"/>
    <w:rsid w:val="009F0E65"/>
    <w:rsid w:val="00A1725B"/>
    <w:rsid w:val="00A1762A"/>
    <w:rsid w:val="00A24797"/>
    <w:rsid w:val="00A24826"/>
    <w:rsid w:val="00A317AF"/>
    <w:rsid w:val="00A50CB0"/>
    <w:rsid w:val="00A5469F"/>
    <w:rsid w:val="00A80396"/>
    <w:rsid w:val="00A86084"/>
    <w:rsid w:val="00AC15ED"/>
    <w:rsid w:val="00AF59D1"/>
    <w:rsid w:val="00B13104"/>
    <w:rsid w:val="00B1316A"/>
    <w:rsid w:val="00B17171"/>
    <w:rsid w:val="00B2304C"/>
    <w:rsid w:val="00B51C19"/>
    <w:rsid w:val="00B559B9"/>
    <w:rsid w:val="00B630B5"/>
    <w:rsid w:val="00B700C4"/>
    <w:rsid w:val="00BC1466"/>
    <w:rsid w:val="00BC1DBD"/>
    <w:rsid w:val="00BC568E"/>
    <w:rsid w:val="00BD2B24"/>
    <w:rsid w:val="00BE585D"/>
    <w:rsid w:val="00BF6202"/>
    <w:rsid w:val="00C0065B"/>
    <w:rsid w:val="00C154A7"/>
    <w:rsid w:val="00C15E02"/>
    <w:rsid w:val="00C248B7"/>
    <w:rsid w:val="00C263A0"/>
    <w:rsid w:val="00C27271"/>
    <w:rsid w:val="00C54C25"/>
    <w:rsid w:val="00C65B66"/>
    <w:rsid w:val="00CA59A6"/>
    <w:rsid w:val="00CA6E08"/>
    <w:rsid w:val="00CC4C18"/>
    <w:rsid w:val="00CF505A"/>
    <w:rsid w:val="00D00CCB"/>
    <w:rsid w:val="00D41451"/>
    <w:rsid w:val="00D425A5"/>
    <w:rsid w:val="00D66DFA"/>
    <w:rsid w:val="00D97FA9"/>
    <w:rsid w:val="00DA5AA4"/>
    <w:rsid w:val="00DC2FB8"/>
    <w:rsid w:val="00DE00C7"/>
    <w:rsid w:val="00E338EE"/>
    <w:rsid w:val="00E41947"/>
    <w:rsid w:val="00E74FCC"/>
    <w:rsid w:val="00EA25E8"/>
    <w:rsid w:val="00EA70EB"/>
    <w:rsid w:val="00EB5079"/>
    <w:rsid w:val="00EE05BC"/>
    <w:rsid w:val="00EF4893"/>
    <w:rsid w:val="00F10958"/>
    <w:rsid w:val="00F109AA"/>
    <w:rsid w:val="00F25EB1"/>
    <w:rsid w:val="00F3361C"/>
    <w:rsid w:val="00F43491"/>
    <w:rsid w:val="00F56066"/>
    <w:rsid w:val="00F802B9"/>
    <w:rsid w:val="00FB210C"/>
    <w:rsid w:val="00FC5E32"/>
    <w:rsid w:val="00FE05B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Pr>
      <w:rFonts w:ascii="Arial" w:hAnsi="Arial"/>
      <w:sz w:val="20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5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94A6E"/>
    <w:rPr>
      <w:sz w:val="28"/>
      <w:szCs w:val="24"/>
    </w:rPr>
  </w:style>
  <w:style w:type="character" w:customStyle="1" w:styleId="a8">
    <w:name w:val="Верхний колонтитул Знак"/>
    <w:link w:val="a7"/>
    <w:rsid w:val="00894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Pr>
      <w:rFonts w:ascii="Arial" w:hAnsi="Arial"/>
      <w:sz w:val="20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5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94A6E"/>
    <w:rPr>
      <w:sz w:val="28"/>
      <w:szCs w:val="24"/>
    </w:rPr>
  </w:style>
  <w:style w:type="character" w:customStyle="1" w:styleId="a8">
    <w:name w:val="Верхний колонтитул Знак"/>
    <w:link w:val="a7"/>
    <w:rsid w:val="00894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2CE9-3F84-48DF-BF13-A5F0D96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Котельникова Анна Юрьевна</dc:creator>
  <cp:lastModifiedBy>Позднякова Татьяна Игоревна</cp:lastModifiedBy>
  <cp:revision>3</cp:revision>
  <cp:lastPrinted>2019-11-29T08:18:00Z</cp:lastPrinted>
  <dcterms:created xsi:type="dcterms:W3CDTF">2022-02-28T06:09:00Z</dcterms:created>
  <dcterms:modified xsi:type="dcterms:W3CDTF">2022-02-28T06:16:00Z</dcterms:modified>
</cp:coreProperties>
</file>